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E23" w:rsidRPr="001A3F2C" w:rsidRDefault="009D6E23" w:rsidP="004F44FD">
      <w:pPr>
        <w:spacing w:line="240" w:lineRule="auto"/>
        <w:ind w:right="-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A3F2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ПОЯСНЮВАЛЬНА ЗАПИСКА </w:t>
      </w:r>
    </w:p>
    <w:p w:rsidR="004F44FD" w:rsidRPr="001A3F2C" w:rsidRDefault="009D6E23" w:rsidP="004F44FD">
      <w:pPr>
        <w:spacing w:line="240" w:lineRule="auto"/>
        <w:ind w:right="-134" w:hanging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A3F2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до </w:t>
      </w:r>
      <w:proofErr w:type="spellStart"/>
      <w:r w:rsidRPr="001A3F2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проєкту</w:t>
      </w:r>
      <w:proofErr w:type="spellEnd"/>
      <w:r w:rsidRPr="001A3F2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рішення Національ</w:t>
      </w:r>
      <w:r w:rsidR="00BC75A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ної комісії з цінних паперів та </w:t>
      </w:r>
      <w:r w:rsidRPr="001A3F2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фондового</w:t>
      </w:r>
      <w:r w:rsidR="000F064F" w:rsidRPr="001A3F2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1A3F2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ринку </w:t>
      </w:r>
      <w:r w:rsidR="005552C0" w:rsidRPr="001A3F2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«</w:t>
      </w:r>
      <w:r w:rsidR="000777E0" w:rsidRPr="001A3F2C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BC75A4" w:rsidRPr="00BC75A4">
        <w:rPr>
          <w:rFonts w:ascii="Times New Roman" w:hAnsi="Times New Roman" w:cs="Times New Roman"/>
          <w:b/>
          <w:bCs/>
          <w:sz w:val="28"/>
          <w:szCs w:val="28"/>
        </w:rPr>
        <w:t xml:space="preserve">внесення змін Положення про </w:t>
      </w:r>
      <w:r w:rsidR="00BC75A4">
        <w:rPr>
          <w:rFonts w:ascii="Times New Roman" w:hAnsi="Times New Roman" w:cs="Times New Roman"/>
          <w:b/>
          <w:bCs/>
          <w:sz w:val="28"/>
          <w:szCs w:val="28"/>
        </w:rPr>
        <w:t xml:space="preserve">провадження </w:t>
      </w:r>
      <w:r w:rsidR="00BC75A4" w:rsidRPr="00BC75A4">
        <w:rPr>
          <w:rFonts w:ascii="Times New Roman" w:hAnsi="Times New Roman" w:cs="Times New Roman"/>
          <w:b/>
          <w:bCs/>
          <w:sz w:val="28"/>
          <w:szCs w:val="28"/>
        </w:rPr>
        <w:t>професійної діяльності на ринках капіталу -</w:t>
      </w:r>
      <w:r w:rsidR="00BC75A4">
        <w:rPr>
          <w:rFonts w:ascii="Times New Roman" w:hAnsi="Times New Roman" w:cs="Times New Roman"/>
          <w:b/>
          <w:bCs/>
          <w:sz w:val="28"/>
          <w:szCs w:val="28"/>
        </w:rPr>
        <w:t xml:space="preserve"> діяльності з управління майном </w:t>
      </w:r>
      <w:r w:rsidR="00BC75A4" w:rsidRPr="00BC75A4">
        <w:rPr>
          <w:rFonts w:ascii="Times New Roman" w:hAnsi="Times New Roman" w:cs="Times New Roman"/>
          <w:b/>
          <w:bCs/>
          <w:sz w:val="28"/>
          <w:szCs w:val="28"/>
        </w:rPr>
        <w:t>для фінансування об’єктів будівництва та/або здійснення операцій з нерухомістю</w:t>
      </w:r>
      <w:r w:rsidR="005552C0" w:rsidRPr="001A3F2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»</w:t>
      </w:r>
      <w:r w:rsidR="004F44FD" w:rsidRPr="001A3F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44FD" w:rsidRPr="001A3F2C" w:rsidRDefault="004F44FD" w:rsidP="004F44FD">
      <w:pPr>
        <w:spacing w:line="240" w:lineRule="auto"/>
        <w:ind w:right="-134" w:hanging="1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9D6E23" w:rsidRPr="001A3F2C" w:rsidRDefault="009D6E23" w:rsidP="004F44FD">
      <w:pPr>
        <w:spacing w:line="240" w:lineRule="auto"/>
        <w:ind w:right="-134" w:firstLine="63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A3F2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1. Мета </w:t>
      </w:r>
    </w:p>
    <w:p w:rsidR="000777E0" w:rsidRPr="001A3F2C" w:rsidRDefault="00BC0244" w:rsidP="00F325A4">
      <w:pPr>
        <w:spacing w:line="240" w:lineRule="auto"/>
        <w:ind w:firstLine="63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proofErr w:type="spellStart"/>
      <w:r w:rsidRPr="001A3F2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1A3F2C">
        <w:rPr>
          <w:rFonts w:ascii="Times New Roman" w:hAnsi="Times New Roman" w:cs="Times New Roman"/>
          <w:sz w:val="28"/>
          <w:szCs w:val="28"/>
        </w:rPr>
        <w:t xml:space="preserve"> рішення НКЦПФР </w:t>
      </w:r>
      <w:r w:rsidRPr="00BC75A4">
        <w:rPr>
          <w:rFonts w:ascii="Times New Roman" w:hAnsi="Times New Roman" w:cs="Times New Roman"/>
          <w:sz w:val="28"/>
          <w:szCs w:val="28"/>
        </w:rPr>
        <w:t>«</w:t>
      </w:r>
      <w:r w:rsidR="00BC75A4" w:rsidRPr="00BC75A4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Про внесення змін Положення про провадження професійної діяльності на ринках капіталу - діяльності з управління майном для фінансування об’єктів будівництва та/або здійснення операцій з нерухомістю</w:t>
      </w:r>
      <w:r w:rsidRPr="00BC75A4">
        <w:rPr>
          <w:rFonts w:ascii="Times New Roman" w:hAnsi="Times New Roman" w:cs="Times New Roman"/>
          <w:noProof/>
          <w:sz w:val="28"/>
          <w:szCs w:val="28"/>
          <w:lang w:eastAsia="ru-RU"/>
        </w:rPr>
        <w:t>»</w:t>
      </w:r>
      <w:r w:rsidR="004F44FD" w:rsidRPr="001A3F2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(далі – Проєкт</w:t>
      </w:r>
      <w:r w:rsidR="00EA4EC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57CCF">
        <w:rPr>
          <w:rFonts w:ascii="Times New Roman" w:hAnsi="Times New Roman" w:cs="Times New Roman"/>
          <w:noProof/>
          <w:sz w:val="28"/>
          <w:szCs w:val="28"/>
          <w:lang w:eastAsia="ru-RU"/>
        </w:rPr>
        <w:t>акта</w:t>
      </w:r>
      <w:r w:rsidR="004F44FD" w:rsidRPr="001A3F2C">
        <w:rPr>
          <w:rFonts w:ascii="Times New Roman" w:hAnsi="Times New Roman" w:cs="Times New Roman"/>
          <w:noProof/>
          <w:sz w:val="28"/>
          <w:szCs w:val="28"/>
          <w:lang w:eastAsia="ru-RU"/>
        </w:rPr>
        <w:t>)</w:t>
      </w:r>
      <w:r w:rsidRPr="001A3F2C">
        <w:rPr>
          <w:rFonts w:ascii="Times New Roman" w:hAnsi="Times New Roman" w:cs="Times New Roman"/>
          <w:sz w:val="28"/>
          <w:szCs w:val="28"/>
        </w:rPr>
        <w:t xml:space="preserve"> </w:t>
      </w:r>
      <w:r w:rsidR="00BC75A4" w:rsidRPr="00BC75A4">
        <w:rPr>
          <w:rFonts w:ascii="Times New Roman" w:hAnsi="Times New Roman" w:cs="Times New Roman"/>
          <w:sz w:val="28"/>
          <w:szCs w:val="28"/>
        </w:rPr>
        <w:t xml:space="preserve">розроблено з метою удосконалення нормативних актів, які регламентують </w:t>
      </w:r>
      <w:r w:rsidR="00400784" w:rsidRPr="00BC75A4">
        <w:rPr>
          <w:rFonts w:ascii="Times New Roman" w:hAnsi="Times New Roman" w:cs="Times New Roman"/>
          <w:bCs/>
          <w:sz w:val="28"/>
          <w:szCs w:val="28"/>
        </w:rPr>
        <w:t>провадження професійної з управління майном для фінансування об’єктів будівництва та/або здійснення операцій з нерухомістю</w:t>
      </w:r>
      <w:r w:rsidR="00876D75">
        <w:rPr>
          <w:rStyle w:val="spanrvts0"/>
          <w:rFonts w:eastAsiaTheme="minorHAnsi"/>
          <w:sz w:val="28"/>
          <w:szCs w:val="28"/>
        </w:rPr>
        <w:t xml:space="preserve">. </w:t>
      </w:r>
    </w:p>
    <w:p w:rsidR="004F44FD" w:rsidRPr="001A3F2C" w:rsidRDefault="004F44FD" w:rsidP="00F45DBD">
      <w:pPr>
        <w:spacing w:line="240" w:lineRule="auto"/>
        <w:ind w:firstLine="63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7979" w:rsidRPr="001A3F2C" w:rsidRDefault="00427979" w:rsidP="004F44FD">
      <w:pPr>
        <w:spacing w:line="240" w:lineRule="auto"/>
        <w:ind w:firstLine="630"/>
        <w:jc w:val="both"/>
        <w:rPr>
          <w:rFonts w:ascii="Times New Roman" w:hAnsi="Times New Roman" w:cs="Times New Roman"/>
          <w:sz w:val="28"/>
          <w:szCs w:val="28"/>
        </w:rPr>
      </w:pPr>
      <w:r w:rsidRPr="001A3F2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2. Обґрунтування необхідності прийняття </w:t>
      </w:r>
      <w:proofErr w:type="spellStart"/>
      <w:r w:rsidRPr="001A3F2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акта</w:t>
      </w:r>
      <w:proofErr w:type="spellEnd"/>
      <w:r w:rsidRPr="001A3F2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</w:t>
      </w:r>
    </w:p>
    <w:p w:rsidR="00662861" w:rsidRDefault="00BC75A4" w:rsidP="00BC75A4">
      <w:pPr>
        <w:spacing w:line="240" w:lineRule="auto"/>
        <w:ind w:firstLine="63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75A4">
        <w:rPr>
          <w:rFonts w:ascii="Times New Roman" w:hAnsi="Times New Roman" w:cs="Times New Roman"/>
          <w:bCs/>
          <w:sz w:val="28"/>
          <w:szCs w:val="28"/>
        </w:rPr>
        <w:t>Положення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BC75A4">
        <w:rPr>
          <w:rFonts w:ascii="Times New Roman" w:hAnsi="Times New Roman" w:cs="Times New Roman"/>
          <w:bCs/>
          <w:sz w:val="28"/>
          <w:szCs w:val="28"/>
        </w:rPr>
        <w:t xml:space="preserve"> про провадження професійної діяльності на ринках капіталу - діяльності з управління майном для фінансування об’єктів будівництва та/або здійснення операцій з нерухомістю, затвердженого рішенням НКЦПФР від </w:t>
      </w:r>
      <w:r w:rsidR="00D90BD0">
        <w:rPr>
          <w:rFonts w:ascii="Times New Roman" w:hAnsi="Times New Roman" w:cs="Times New Roman"/>
          <w:bCs/>
          <w:sz w:val="28"/>
          <w:szCs w:val="28"/>
        </w:rPr>
        <w:t>13 </w:t>
      </w:r>
      <w:r w:rsidRPr="00BC75A4">
        <w:rPr>
          <w:rFonts w:ascii="Times New Roman" w:hAnsi="Times New Roman" w:cs="Times New Roman"/>
          <w:bCs/>
          <w:sz w:val="28"/>
          <w:szCs w:val="28"/>
        </w:rPr>
        <w:t xml:space="preserve">травня 2021 року № 274, зареєстрованого в Міністерстві юстиції України </w:t>
      </w:r>
      <w:r w:rsidR="00D90BD0">
        <w:rPr>
          <w:rFonts w:ascii="Times New Roman" w:hAnsi="Times New Roman" w:cs="Times New Roman"/>
          <w:bCs/>
          <w:sz w:val="28"/>
          <w:szCs w:val="28"/>
        </w:rPr>
        <w:t>04 </w:t>
      </w:r>
      <w:r w:rsidRPr="00BC75A4">
        <w:rPr>
          <w:rFonts w:ascii="Times New Roman" w:hAnsi="Times New Roman" w:cs="Times New Roman"/>
          <w:bCs/>
          <w:sz w:val="28"/>
          <w:szCs w:val="28"/>
        </w:rPr>
        <w:t xml:space="preserve">червня 2021 року за № 751/36373 </w:t>
      </w:r>
      <w:r>
        <w:rPr>
          <w:rFonts w:ascii="Times New Roman" w:hAnsi="Times New Roman" w:cs="Times New Roman"/>
          <w:bCs/>
          <w:sz w:val="28"/>
          <w:szCs w:val="28"/>
        </w:rPr>
        <w:t xml:space="preserve">не </w:t>
      </w:r>
      <w:r w:rsidR="00D90BD0">
        <w:rPr>
          <w:rFonts w:ascii="Times New Roman" w:hAnsi="Times New Roman" w:cs="Times New Roman"/>
          <w:bCs/>
          <w:sz w:val="28"/>
          <w:szCs w:val="28"/>
        </w:rPr>
        <w:t>врегульовано питання що</w:t>
      </w:r>
      <w:r>
        <w:rPr>
          <w:rFonts w:ascii="Times New Roman" w:hAnsi="Times New Roman" w:cs="Times New Roman"/>
          <w:bCs/>
          <w:sz w:val="28"/>
          <w:szCs w:val="28"/>
        </w:rPr>
        <w:t xml:space="preserve">до розміру оперативного резерву, у випадку </w:t>
      </w:r>
      <w:r w:rsidRPr="00BC75A4">
        <w:rPr>
          <w:rFonts w:ascii="Times New Roman" w:hAnsi="Times New Roman" w:cs="Times New Roman"/>
          <w:bCs/>
          <w:sz w:val="28"/>
          <w:szCs w:val="28"/>
        </w:rPr>
        <w:t xml:space="preserve">передачі </w:t>
      </w:r>
      <w:r w:rsidR="00B225EA">
        <w:rPr>
          <w:rFonts w:ascii="Times New Roman" w:hAnsi="Times New Roman" w:cs="Times New Roman"/>
          <w:bCs/>
          <w:sz w:val="28"/>
          <w:szCs w:val="28"/>
        </w:rPr>
        <w:t>певного ФФБ</w:t>
      </w:r>
      <w:r w:rsidR="00B225EA" w:rsidRPr="00BC75A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C75A4">
        <w:rPr>
          <w:rFonts w:ascii="Times New Roman" w:hAnsi="Times New Roman" w:cs="Times New Roman"/>
          <w:bCs/>
          <w:sz w:val="28"/>
          <w:szCs w:val="28"/>
        </w:rPr>
        <w:t>за рішенням суду новому управителю</w:t>
      </w:r>
      <w:r w:rsidR="005F08D2">
        <w:rPr>
          <w:rFonts w:ascii="Times New Roman" w:hAnsi="Times New Roman" w:cs="Times New Roman"/>
          <w:bCs/>
          <w:sz w:val="28"/>
          <w:szCs w:val="28"/>
        </w:rPr>
        <w:t>.</w:t>
      </w:r>
    </w:p>
    <w:p w:rsidR="00400784" w:rsidRPr="005F08D2" w:rsidRDefault="00400784" w:rsidP="00BC75A4">
      <w:pPr>
        <w:spacing w:line="240" w:lineRule="auto"/>
        <w:ind w:firstLine="63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 зв’язку з цим виникла необхідність у внесенні змін.</w:t>
      </w:r>
      <w:bookmarkStart w:id="0" w:name="_GoBack"/>
      <w:bookmarkEnd w:id="0"/>
    </w:p>
    <w:p w:rsidR="00E36873" w:rsidRPr="001A3F2C" w:rsidRDefault="00E36873" w:rsidP="0054603E">
      <w:pPr>
        <w:pStyle w:val="a9"/>
        <w:spacing w:before="0" w:beforeAutospacing="0" w:after="0" w:afterAutospacing="0"/>
        <w:ind w:firstLine="630"/>
        <w:jc w:val="both"/>
        <w:rPr>
          <w:bCs/>
          <w:iCs/>
          <w:sz w:val="28"/>
          <w:szCs w:val="28"/>
        </w:rPr>
      </w:pPr>
    </w:p>
    <w:p w:rsidR="001F5038" w:rsidRPr="001A3F2C" w:rsidRDefault="009162AC" w:rsidP="004F44FD">
      <w:pPr>
        <w:pStyle w:val="rvps2"/>
        <w:spacing w:before="0" w:beforeAutospacing="0" w:after="0" w:afterAutospacing="0"/>
        <w:ind w:firstLine="630"/>
        <w:jc w:val="both"/>
        <w:rPr>
          <w:b/>
          <w:sz w:val="28"/>
          <w:szCs w:val="28"/>
        </w:rPr>
      </w:pPr>
      <w:r w:rsidRPr="001A3F2C">
        <w:rPr>
          <w:b/>
          <w:sz w:val="28"/>
          <w:szCs w:val="28"/>
        </w:rPr>
        <w:t xml:space="preserve">3. Основні положення </w:t>
      </w:r>
      <w:proofErr w:type="spellStart"/>
      <w:r w:rsidRPr="001A3F2C">
        <w:rPr>
          <w:b/>
          <w:sz w:val="28"/>
          <w:szCs w:val="28"/>
        </w:rPr>
        <w:t>акта</w:t>
      </w:r>
      <w:proofErr w:type="spellEnd"/>
      <w:r w:rsidR="001F5038" w:rsidRPr="001A3F2C">
        <w:rPr>
          <w:b/>
          <w:sz w:val="28"/>
          <w:szCs w:val="28"/>
        </w:rPr>
        <w:t xml:space="preserve"> </w:t>
      </w:r>
    </w:p>
    <w:p w:rsidR="004E5F6F" w:rsidRPr="004E5F6F" w:rsidRDefault="004F44FD" w:rsidP="00B225EA">
      <w:pPr>
        <w:pStyle w:val="rvps2"/>
        <w:spacing w:before="0" w:beforeAutospacing="0" w:after="0" w:afterAutospacing="0"/>
        <w:ind w:firstLine="634"/>
        <w:jc w:val="both"/>
        <w:rPr>
          <w:sz w:val="28"/>
          <w:szCs w:val="28"/>
        </w:rPr>
      </w:pPr>
      <w:proofErr w:type="spellStart"/>
      <w:r w:rsidRPr="001A3F2C">
        <w:rPr>
          <w:sz w:val="28"/>
          <w:szCs w:val="28"/>
        </w:rPr>
        <w:t>Проєкт</w:t>
      </w:r>
      <w:proofErr w:type="spellEnd"/>
      <w:r w:rsidR="00D950B5">
        <w:rPr>
          <w:sz w:val="28"/>
          <w:szCs w:val="28"/>
        </w:rPr>
        <w:t xml:space="preserve"> </w:t>
      </w:r>
      <w:r w:rsidR="00A57CCF">
        <w:rPr>
          <w:noProof/>
          <w:sz w:val="28"/>
          <w:szCs w:val="28"/>
          <w:lang w:eastAsia="ru-RU"/>
        </w:rPr>
        <w:t>акта</w:t>
      </w:r>
      <w:r w:rsidRPr="001A3F2C">
        <w:rPr>
          <w:sz w:val="28"/>
          <w:szCs w:val="28"/>
        </w:rPr>
        <w:t xml:space="preserve"> передбачає</w:t>
      </w:r>
      <w:r w:rsidR="00B225EA">
        <w:rPr>
          <w:sz w:val="28"/>
          <w:szCs w:val="28"/>
        </w:rPr>
        <w:t xml:space="preserve"> доповнення </w:t>
      </w:r>
      <w:r w:rsidR="00B225EA" w:rsidRPr="00BC75A4">
        <w:rPr>
          <w:bCs/>
          <w:sz w:val="28"/>
          <w:szCs w:val="28"/>
        </w:rPr>
        <w:t>Положення про провадження професійної діяльності на ринках капіталу - діяльності з управління майном для фінансування об’єктів будівництва та/або здійснення операцій з нерухомістю</w:t>
      </w:r>
      <w:r w:rsidR="00B225EA">
        <w:rPr>
          <w:bCs/>
          <w:sz w:val="28"/>
          <w:szCs w:val="28"/>
        </w:rPr>
        <w:t xml:space="preserve"> новим пунктом, яким встановлюються вимоги до розміру оперативного резерву, у випадку </w:t>
      </w:r>
      <w:r w:rsidR="00B225EA" w:rsidRPr="00BC75A4">
        <w:rPr>
          <w:bCs/>
          <w:sz w:val="28"/>
          <w:szCs w:val="28"/>
        </w:rPr>
        <w:t xml:space="preserve">передачі </w:t>
      </w:r>
      <w:r w:rsidR="00B225EA">
        <w:rPr>
          <w:bCs/>
          <w:sz w:val="28"/>
          <w:szCs w:val="28"/>
        </w:rPr>
        <w:t>певного ФФБ</w:t>
      </w:r>
      <w:r w:rsidR="00B225EA" w:rsidRPr="00BC75A4">
        <w:rPr>
          <w:bCs/>
          <w:sz w:val="28"/>
          <w:szCs w:val="28"/>
        </w:rPr>
        <w:t xml:space="preserve"> за рішенням суду новому управителю</w:t>
      </w:r>
      <w:r w:rsidR="00D90BD0">
        <w:rPr>
          <w:bCs/>
          <w:sz w:val="28"/>
          <w:szCs w:val="28"/>
        </w:rPr>
        <w:t xml:space="preserve">, а також </w:t>
      </w:r>
      <w:r w:rsidR="00D90BD0" w:rsidRPr="00D90BD0">
        <w:rPr>
          <w:bCs/>
          <w:sz w:val="28"/>
          <w:szCs w:val="28"/>
        </w:rPr>
        <w:t>формування та поповнення оперативного резерву</w:t>
      </w:r>
      <w:r w:rsidR="00D90BD0">
        <w:rPr>
          <w:bCs/>
          <w:sz w:val="28"/>
          <w:szCs w:val="28"/>
        </w:rPr>
        <w:t xml:space="preserve"> в подальшому</w:t>
      </w:r>
      <w:r w:rsidR="004E5F6F" w:rsidRPr="00D90BD0">
        <w:rPr>
          <w:sz w:val="28"/>
          <w:szCs w:val="28"/>
        </w:rPr>
        <w:t>.</w:t>
      </w:r>
    </w:p>
    <w:p w:rsidR="00CF352B" w:rsidRDefault="00CF352B" w:rsidP="00A510CC">
      <w:pPr>
        <w:pStyle w:val="rvps2"/>
        <w:tabs>
          <w:tab w:val="left" w:pos="851"/>
        </w:tabs>
        <w:spacing w:before="0" w:beforeAutospacing="0" w:after="0" w:afterAutospacing="0"/>
        <w:ind w:firstLine="630"/>
        <w:jc w:val="both"/>
        <w:rPr>
          <w:sz w:val="28"/>
          <w:szCs w:val="28"/>
        </w:rPr>
      </w:pPr>
    </w:p>
    <w:p w:rsidR="00AE7254" w:rsidRDefault="00CC3F3D" w:rsidP="00AE7254">
      <w:pPr>
        <w:pStyle w:val="aa"/>
        <w:tabs>
          <w:tab w:val="left" w:pos="0"/>
        </w:tabs>
        <w:ind w:firstLine="709"/>
        <w:jc w:val="both"/>
        <w:rPr>
          <w:rFonts w:ascii="Times New Roman" w:eastAsia="SimSun" w:hAnsi="Times New Roman"/>
          <w:b/>
          <w:bCs/>
          <w:kern w:val="2"/>
          <w:sz w:val="28"/>
          <w:szCs w:val="28"/>
          <w:lang w:eastAsia="ar-SA"/>
        </w:rPr>
      </w:pPr>
      <w:r w:rsidRPr="00820CAB">
        <w:rPr>
          <w:rFonts w:ascii="Times New Roman" w:eastAsia="SimSun" w:hAnsi="Times New Roman"/>
          <w:b/>
          <w:bCs/>
          <w:kern w:val="2"/>
          <w:sz w:val="28"/>
          <w:szCs w:val="28"/>
          <w:lang w:eastAsia="ar-SA"/>
        </w:rPr>
        <w:t>4. Правові аспекти</w:t>
      </w:r>
    </w:p>
    <w:p w:rsidR="00CC3F3D" w:rsidRPr="00AE7254" w:rsidRDefault="00CC3F3D" w:rsidP="00AE7254">
      <w:pPr>
        <w:pStyle w:val="aa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20CAB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Акти законодавства, які містять правові підстави розроблення </w:t>
      </w:r>
      <w:r w:rsidR="00A57CCF" w:rsidRPr="001A3F2C">
        <w:rPr>
          <w:rFonts w:ascii="Times New Roman" w:hAnsi="Times New Roman"/>
          <w:noProof/>
          <w:sz w:val="28"/>
          <w:szCs w:val="28"/>
          <w:lang w:eastAsia="ru-RU"/>
        </w:rPr>
        <w:t>Проєкт</w:t>
      </w:r>
      <w:r w:rsidR="00A57CCF">
        <w:rPr>
          <w:rFonts w:ascii="Times New Roman" w:hAnsi="Times New Roman"/>
          <w:noProof/>
          <w:sz w:val="28"/>
          <w:szCs w:val="28"/>
          <w:lang w:eastAsia="ru-RU"/>
        </w:rPr>
        <w:t>у акта</w:t>
      </w:r>
      <w:r w:rsidRPr="00820CAB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, та інші нормативно-правові акти, що діють у відповідній сфері суспільних відносин: </w:t>
      </w:r>
    </w:p>
    <w:p w:rsidR="00CC3F3D" w:rsidRPr="00820CAB" w:rsidRDefault="00CC3F3D" w:rsidP="00CC3F3D">
      <w:pPr>
        <w:pStyle w:val="a5"/>
        <w:tabs>
          <w:tab w:val="left" w:pos="0"/>
          <w:tab w:val="left" w:pos="4536"/>
        </w:tabs>
        <w:overflowPunct w:val="0"/>
        <w:autoSpaceDE w:val="0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 w:rsidRPr="00820CAB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Закон України «Про державне регулювання ринків капіталу та організованих товарних ринків»; </w:t>
      </w:r>
    </w:p>
    <w:p w:rsidR="00D90BD0" w:rsidRDefault="00D90BD0" w:rsidP="00CC3F3D">
      <w:pPr>
        <w:pStyle w:val="a5"/>
        <w:tabs>
          <w:tab w:val="left" w:pos="0"/>
          <w:tab w:val="left" w:pos="4536"/>
        </w:tabs>
        <w:overflowPunct w:val="0"/>
        <w:autoSpaceDE w:val="0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 w:rsidRPr="00D90BD0">
        <w:rPr>
          <w:rFonts w:ascii="Times New Roman" w:eastAsia="Times New Roman" w:hAnsi="Times New Roman"/>
          <w:kern w:val="2"/>
          <w:sz w:val="28"/>
          <w:szCs w:val="28"/>
          <w:lang w:eastAsia="ar-SA"/>
        </w:rPr>
        <w:lastRenderedPageBreak/>
        <w:t>Закон України «Про фінансово-кредитні механізми і управління майном при будівництві житла та операціях з нерухомістю»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;</w:t>
      </w:r>
    </w:p>
    <w:p w:rsidR="00CC3F3D" w:rsidRPr="00D90BD0" w:rsidRDefault="00CC3F3D" w:rsidP="00CC3F3D">
      <w:pPr>
        <w:pStyle w:val="a5"/>
        <w:tabs>
          <w:tab w:val="left" w:pos="0"/>
          <w:tab w:val="left" w:pos="4536"/>
        </w:tabs>
        <w:overflowPunct w:val="0"/>
        <w:autoSpaceDE w:val="0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 w:rsidRPr="00C73E9B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рішення </w:t>
      </w:r>
      <w:r w:rsidR="00DE0E92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НКЦПФР</w:t>
      </w:r>
      <w:r w:rsidRPr="00C73E9B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</w:t>
      </w:r>
      <w:r w:rsidR="00D90BD0" w:rsidRPr="00BC75A4">
        <w:rPr>
          <w:rFonts w:ascii="Times New Roman" w:hAnsi="Times New Roman" w:cs="Times New Roman"/>
          <w:bCs/>
          <w:sz w:val="28"/>
          <w:szCs w:val="28"/>
        </w:rPr>
        <w:t>від 13 травня 2021 року № 274</w:t>
      </w:r>
      <w:r w:rsidR="00D90BD0" w:rsidRPr="00C73E9B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</w:t>
      </w:r>
      <w:r w:rsidRPr="00D90BD0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«</w:t>
      </w:r>
      <w:r w:rsidR="00D90BD0" w:rsidRPr="00D90BD0">
        <w:rPr>
          <w:rFonts w:ascii="Times New Roman" w:eastAsia="Times New Roman" w:hAnsi="Times New Roman"/>
          <w:bCs/>
          <w:kern w:val="2"/>
          <w:sz w:val="28"/>
          <w:szCs w:val="28"/>
          <w:lang w:eastAsia="ar-SA"/>
        </w:rPr>
        <w:t>Про затвердження Положення про провадження професійної діяльності на ринках капіталу - діяльності з управління майном для фінансування об’єктів будівництва та/або здійснення операцій з нерухомістю</w:t>
      </w:r>
      <w:r w:rsidR="00AE7254" w:rsidRPr="00D90BD0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»</w:t>
      </w:r>
      <w:r w:rsidRPr="00D90BD0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.</w:t>
      </w:r>
    </w:p>
    <w:p w:rsidR="00CC3F3D" w:rsidRPr="00D90BD0" w:rsidRDefault="00CC3F3D" w:rsidP="00CC3F3D">
      <w:pPr>
        <w:pStyle w:val="a5"/>
        <w:tabs>
          <w:tab w:val="left" w:pos="0"/>
          <w:tab w:val="left" w:pos="4536"/>
        </w:tabs>
        <w:overflowPunct w:val="0"/>
        <w:autoSpaceDE w:val="0"/>
        <w:ind w:firstLine="709"/>
        <w:jc w:val="both"/>
        <w:rPr>
          <w:rFonts w:ascii="Times New Roman" w:hAnsi="Times New Roman"/>
          <w:bCs/>
          <w:sz w:val="28"/>
          <w:szCs w:val="28"/>
          <w:lang w:eastAsia="uk-UA"/>
        </w:rPr>
      </w:pPr>
    </w:p>
    <w:p w:rsidR="00CC3F3D" w:rsidRPr="009A57D5" w:rsidRDefault="00CC3F3D" w:rsidP="00CC3F3D">
      <w:pPr>
        <w:suppressLineNumbers/>
        <w:tabs>
          <w:tab w:val="left" w:pos="0"/>
          <w:tab w:val="left" w:pos="4536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CAB">
        <w:rPr>
          <w:rFonts w:ascii="Times New Roman" w:eastAsia="Times New Roman" w:hAnsi="Times New Roman"/>
          <w:b/>
          <w:kern w:val="2"/>
          <w:sz w:val="28"/>
          <w:szCs w:val="28"/>
          <w:lang w:eastAsia="ar-SA"/>
        </w:rPr>
        <w:t>5. Фінансово-економічне обґрунтування</w:t>
      </w:r>
    </w:p>
    <w:p w:rsidR="00CC3F3D" w:rsidRPr="00820CAB" w:rsidRDefault="00CC3F3D" w:rsidP="00CC3F3D">
      <w:pPr>
        <w:widowControl w:val="0"/>
        <w:suppressLineNumbers/>
        <w:tabs>
          <w:tab w:val="left" w:pos="4536"/>
          <w:tab w:val="center" w:pos="4819"/>
          <w:tab w:val="right" w:pos="9639"/>
        </w:tabs>
        <w:spacing w:line="240" w:lineRule="auto"/>
        <w:ind w:firstLine="709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820CA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Реалізація </w:t>
      </w:r>
      <w:r w:rsidR="00A57CCF" w:rsidRPr="001A3F2C">
        <w:rPr>
          <w:rFonts w:ascii="Times New Roman" w:hAnsi="Times New Roman" w:cs="Times New Roman"/>
          <w:noProof/>
          <w:sz w:val="28"/>
          <w:szCs w:val="28"/>
          <w:lang w:eastAsia="ru-RU"/>
        </w:rPr>
        <w:t>Проєкт</w:t>
      </w:r>
      <w:r w:rsidR="00A57CCF">
        <w:rPr>
          <w:rFonts w:ascii="Times New Roman" w:hAnsi="Times New Roman" w:cs="Times New Roman"/>
          <w:noProof/>
          <w:sz w:val="28"/>
          <w:szCs w:val="28"/>
          <w:lang w:eastAsia="ru-RU"/>
        </w:rPr>
        <w:t>у акта</w:t>
      </w:r>
      <w:r w:rsidRPr="00820C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20CAB">
        <w:rPr>
          <w:rFonts w:ascii="Times New Roman" w:eastAsia="SimSun" w:hAnsi="Times New Roman"/>
          <w:kern w:val="1"/>
          <w:sz w:val="28"/>
          <w:szCs w:val="28"/>
          <w:lang w:eastAsia="ar-SA"/>
        </w:rPr>
        <w:t>не матиме впливу на надходження та витрати державного та/або місцевих бюджетів.</w:t>
      </w:r>
    </w:p>
    <w:p w:rsidR="00CC3F3D" w:rsidRPr="00820CAB" w:rsidRDefault="00CC3F3D" w:rsidP="00CC3F3D">
      <w:pPr>
        <w:widowControl w:val="0"/>
        <w:tabs>
          <w:tab w:val="left" w:pos="4536"/>
        </w:tabs>
        <w:spacing w:line="240" w:lineRule="auto"/>
        <w:ind w:firstLine="709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820CA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Реалізація </w:t>
      </w:r>
      <w:r w:rsidR="00A57CCF" w:rsidRPr="001A3F2C">
        <w:rPr>
          <w:rFonts w:ascii="Times New Roman" w:hAnsi="Times New Roman" w:cs="Times New Roman"/>
          <w:noProof/>
          <w:sz w:val="28"/>
          <w:szCs w:val="28"/>
          <w:lang w:eastAsia="ru-RU"/>
        </w:rPr>
        <w:t>Проєкт</w:t>
      </w:r>
      <w:r w:rsidR="00A57CCF">
        <w:rPr>
          <w:rFonts w:ascii="Times New Roman" w:hAnsi="Times New Roman" w:cs="Times New Roman"/>
          <w:noProof/>
          <w:sz w:val="28"/>
          <w:szCs w:val="28"/>
          <w:lang w:eastAsia="ru-RU"/>
        </w:rPr>
        <w:t>у акта</w:t>
      </w:r>
      <w:r w:rsidRPr="00820CA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не потребує фінансування з державного чи місцевих бюджетів.</w:t>
      </w:r>
    </w:p>
    <w:p w:rsidR="00CC3F3D" w:rsidRPr="00820CAB" w:rsidRDefault="00CC3F3D" w:rsidP="00CC3F3D">
      <w:pPr>
        <w:widowControl w:val="0"/>
        <w:tabs>
          <w:tab w:val="left" w:pos="0"/>
          <w:tab w:val="left" w:pos="4536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3F3D" w:rsidRPr="009A57D5" w:rsidRDefault="00CC3F3D" w:rsidP="00CC3F3D">
      <w:pPr>
        <w:tabs>
          <w:tab w:val="left" w:pos="0"/>
          <w:tab w:val="center" w:pos="4819"/>
          <w:tab w:val="right" w:pos="9639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CAB">
        <w:rPr>
          <w:rFonts w:ascii="Times New Roman" w:eastAsia="Times New Roman" w:hAnsi="Times New Roman"/>
          <w:b/>
          <w:kern w:val="2"/>
          <w:sz w:val="28"/>
          <w:szCs w:val="28"/>
          <w:lang w:eastAsia="ar-SA"/>
        </w:rPr>
        <w:t>6. Позиція заінтересованих сторін</w:t>
      </w:r>
    </w:p>
    <w:p w:rsidR="00CC3F3D" w:rsidRPr="00820CAB" w:rsidRDefault="00A57CCF" w:rsidP="00CC3F3D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kern w:val="1"/>
          <w:sz w:val="28"/>
          <w:szCs w:val="28"/>
          <w:lang w:eastAsia="ar-SA"/>
        </w:rPr>
      </w:pPr>
      <w:r w:rsidRPr="001A3F2C">
        <w:rPr>
          <w:rFonts w:ascii="Times New Roman" w:hAnsi="Times New Roman" w:cs="Times New Roman"/>
          <w:noProof/>
          <w:sz w:val="28"/>
          <w:szCs w:val="28"/>
          <w:lang w:eastAsia="ru-RU"/>
        </w:rPr>
        <w:t>Проєкт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акта</w:t>
      </w:r>
      <w:r w:rsidR="00CC3F3D"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не стосується питань функціонування місцевого самоврядування, прав та інтересів територіальних громад, місцевого та регіонального розвитку, соціально-трудової сфери, </w:t>
      </w:r>
      <w:r w:rsidR="00CC3F3D" w:rsidRPr="00820CAB">
        <w:rPr>
          <w:rFonts w:ascii="Times New Roman" w:eastAsia="Times New Roman" w:hAnsi="Times New Roman"/>
          <w:color w:val="000000"/>
          <w:kern w:val="1"/>
          <w:sz w:val="28"/>
          <w:szCs w:val="28"/>
          <w:lang w:eastAsia="ar-SA"/>
        </w:rPr>
        <w:t>прав осіб з інвалідністю, функціонування і застосування української мови як державної.</w:t>
      </w:r>
    </w:p>
    <w:p w:rsidR="00CC3F3D" w:rsidRPr="00820CAB" w:rsidRDefault="00A57CCF" w:rsidP="00CC3F3D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1A3F2C">
        <w:rPr>
          <w:rFonts w:ascii="Times New Roman" w:hAnsi="Times New Roman" w:cs="Times New Roman"/>
          <w:noProof/>
          <w:sz w:val="28"/>
          <w:szCs w:val="28"/>
          <w:lang w:eastAsia="ru-RU"/>
        </w:rPr>
        <w:t>Проєкт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акта</w:t>
      </w:r>
      <w:r w:rsidR="00CC3F3D"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не потребує погодження із уповноваженими представниками всеукраїнських асоціацій органів місцевого самоврядування чи відповідними органами місцевого самоврядування, уповноваженими представниками всеукраїнських профспілок, їх об’єднаннями та всеукраїнськими об’єднаннями організацій роботодавців, Уповноваженим Президента України з прав людей з інвалідністю, Урядовим уповноваженим з прав осіб з інвалідністю та всеукраїнськими громадськими організаціями осіб з інвалідністю, їх спілками, Уповноваженим із захисту державної мови.</w:t>
      </w:r>
    </w:p>
    <w:p w:rsidR="00CC3F3D" w:rsidRDefault="00A57CCF" w:rsidP="00CC3F3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1A3F2C">
        <w:rPr>
          <w:rFonts w:ascii="Times New Roman" w:hAnsi="Times New Roman" w:cs="Times New Roman"/>
          <w:noProof/>
          <w:sz w:val="28"/>
          <w:szCs w:val="28"/>
          <w:lang w:eastAsia="ru-RU"/>
        </w:rPr>
        <w:t>Проєкт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акта</w:t>
      </w:r>
      <w:r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</w:t>
      </w:r>
      <w:r w:rsidR="00CC3F3D"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не стосується сфери наукової та науково-технічної діяльності та не потребує розгляду Науковим комітетом Національної ради з питань розвитку науки і технологій.</w:t>
      </w:r>
    </w:p>
    <w:p w:rsidR="00400784" w:rsidRPr="00820CAB" w:rsidRDefault="00400784" w:rsidP="00CC3F3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proofErr w:type="spellStart"/>
      <w:r w:rsidRPr="00400784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Проєкт</w:t>
      </w:r>
      <w:proofErr w:type="spellEnd"/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акта</w:t>
      </w:r>
      <w:proofErr w:type="spellEnd"/>
      <w:r w:rsidRPr="00400784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буде оприлюднений відповідно до Закону України «Про державне регулювання ринків капіталу та організованих товарних ринків» на офіц</w:t>
      </w: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ійному </w:t>
      </w:r>
      <w:proofErr w:type="spellStart"/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вебсайті</w:t>
      </w:r>
      <w:proofErr w:type="spellEnd"/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НКЦПФР (</w:t>
      </w:r>
      <w:hyperlink r:id="rId7" w:history="1">
        <w:r w:rsidRPr="00F46831">
          <w:rPr>
            <w:rStyle w:val="a4"/>
            <w:rFonts w:ascii="Times New Roman" w:eastAsia="Times New Roman" w:hAnsi="Times New Roman"/>
            <w:kern w:val="1"/>
            <w:sz w:val="28"/>
            <w:szCs w:val="28"/>
            <w:lang w:eastAsia="ar-SA"/>
          </w:rPr>
          <w:t>http://www.nssmc.gov.ua</w:t>
        </w:r>
      </w:hyperlink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) </w:t>
      </w:r>
      <w:r w:rsidRPr="00400784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з метою отримання зауважень та пропозицій до нього.</w:t>
      </w:r>
    </w:p>
    <w:p w:rsidR="00CC3F3D" w:rsidRPr="00820CAB" w:rsidRDefault="00CC3F3D" w:rsidP="00CC3F3D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</w:p>
    <w:p w:rsidR="00CC3F3D" w:rsidRPr="00102908" w:rsidRDefault="00CC3F3D" w:rsidP="00CC3F3D">
      <w:pPr>
        <w:suppressLineNumbers/>
        <w:tabs>
          <w:tab w:val="left" w:pos="0"/>
          <w:tab w:val="left" w:pos="4536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CAB">
        <w:rPr>
          <w:rFonts w:ascii="Times New Roman" w:eastAsia="Times New Roman" w:hAnsi="Times New Roman"/>
          <w:b/>
          <w:kern w:val="2"/>
          <w:sz w:val="28"/>
          <w:szCs w:val="28"/>
          <w:lang w:eastAsia="ar-SA"/>
        </w:rPr>
        <w:t xml:space="preserve">7. Оцінка відповідності </w:t>
      </w:r>
    </w:p>
    <w:p w:rsidR="00CC3F3D" w:rsidRPr="00820CAB" w:rsidRDefault="00A57CCF" w:rsidP="00CC3F3D">
      <w:pPr>
        <w:widowControl w:val="0"/>
        <w:shd w:val="clear" w:color="auto" w:fill="FFFFFF"/>
        <w:spacing w:before="28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1A3F2C">
        <w:rPr>
          <w:rFonts w:ascii="Times New Roman" w:hAnsi="Times New Roman" w:cs="Times New Roman"/>
          <w:noProof/>
          <w:sz w:val="28"/>
          <w:szCs w:val="28"/>
          <w:lang w:eastAsia="ru-RU"/>
        </w:rPr>
        <w:t>Проєкт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акта</w:t>
      </w:r>
      <w:r w:rsidR="00CC3F3D"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не стосується сфери компетенції інших органів державної влади та відповідно не потребує погодження з іншими органами державної влади.</w:t>
      </w:r>
    </w:p>
    <w:p w:rsidR="00CC3F3D" w:rsidRPr="00820CAB" w:rsidRDefault="00A57CCF" w:rsidP="00CC3F3D">
      <w:pPr>
        <w:widowControl w:val="0"/>
        <w:tabs>
          <w:tab w:val="left" w:pos="4536"/>
          <w:tab w:val="center" w:pos="4819"/>
          <w:tab w:val="right" w:pos="9639"/>
        </w:tabs>
        <w:spacing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1A3F2C">
        <w:rPr>
          <w:rFonts w:ascii="Times New Roman" w:hAnsi="Times New Roman" w:cs="Times New Roman"/>
          <w:noProof/>
          <w:sz w:val="28"/>
          <w:szCs w:val="28"/>
          <w:lang w:eastAsia="ru-RU"/>
        </w:rPr>
        <w:t>Проєкт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акта</w:t>
      </w:r>
      <w:r w:rsidR="00CC3F3D"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не містить положень, що стосуються зобов’язань України у сфері європейської інтеграції.</w:t>
      </w:r>
    </w:p>
    <w:p w:rsidR="00CC3F3D" w:rsidRPr="00820CAB" w:rsidRDefault="00A57CCF" w:rsidP="00CC3F3D">
      <w:pPr>
        <w:widowControl w:val="0"/>
        <w:tabs>
          <w:tab w:val="left" w:pos="4536"/>
          <w:tab w:val="center" w:pos="4819"/>
          <w:tab w:val="right" w:pos="9639"/>
        </w:tabs>
        <w:spacing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1A3F2C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Проєкт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акта</w:t>
      </w:r>
      <w:r w:rsidR="00CC3F3D"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не містить положень, що стосуються прав та свобод, гарантованих Конвенцією про захист прав людини і основоположних свобод.</w:t>
      </w:r>
    </w:p>
    <w:p w:rsidR="00CC3F3D" w:rsidRPr="00820CAB" w:rsidRDefault="00CC3F3D" w:rsidP="00CC3F3D">
      <w:pPr>
        <w:widowControl w:val="0"/>
        <w:tabs>
          <w:tab w:val="left" w:pos="4536"/>
          <w:tab w:val="center" w:pos="4819"/>
          <w:tab w:val="right" w:pos="9639"/>
        </w:tabs>
        <w:spacing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У </w:t>
      </w:r>
      <w:r w:rsidR="00A57CCF" w:rsidRPr="001A3F2C">
        <w:rPr>
          <w:rFonts w:ascii="Times New Roman" w:hAnsi="Times New Roman" w:cs="Times New Roman"/>
          <w:noProof/>
          <w:sz w:val="28"/>
          <w:szCs w:val="28"/>
          <w:lang w:eastAsia="ru-RU"/>
        </w:rPr>
        <w:t>Проєкт</w:t>
      </w:r>
      <w:r w:rsidR="00A57CCF">
        <w:rPr>
          <w:rFonts w:ascii="Times New Roman" w:hAnsi="Times New Roman" w:cs="Times New Roman"/>
          <w:noProof/>
          <w:sz w:val="28"/>
          <w:szCs w:val="28"/>
          <w:lang w:eastAsia="ru-RU"/>
        </w:rPr>
        <w:t>і акта</w:t>
      </w:r>
      <w:r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відсутні положення, які впливають на забезпечення рівних прав та можливостей жінок і чоловіків. </w:t>
      </w:r>
      <w:r w:rsidR="00A57CCF" w:rsidRPr="001A3F2C">
        <w:rPr>
          <w:rFonts w:ascii="Times New Roman" w:hAnsi="Times New Roman" w:cs="Times New Roman"/>
          <w:noProof/>
          <w:sz w:val="28"/>
          <w:szCs w:val="28"/>
          <w:lang w:eastAsia="ru-RU"/>
        </w:rPr>
        <w:t>Проєкт</w:t>
      </w:r>
      <w:r w:rsidR="00A57CC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акта</w:t>
      </w:r>
      <w:r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відповідає положенням міжнародно-правових актів з питань забезпечення рівних прав та можливостей жінок і чоловіків, є </w:t>
      </w:r>
      <w:proofErr w:type="spellStart"/>
      <w:r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гендерно</w:t>
      </w:r>
      <w:proofErr w:type="spellEnd"/>
      <w:r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нейтральним.</w:t>
      </w:r>
    </w:p>
    <w:p w:rsidR="00CC3F3D" w:rsidRPr="00820CAB" w:rsidRDefault="00CC3F3D" w:rsidP="00CC3F3D">
      <w:pPr>
        <w:widowControl w:val="0"/>
        <w:tabs>
          <w:tab w:val="left" w:pos="4536"/>
          <w:tab w:val="center" w:pos="4819"/>
          <w:tab w:val="right" w:pos="9639"/>
        </w:tabs>
        <w:spacing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У </w:t>
      </w:r>
      <w:r w:rsidR="00A57CCF" w:rsidRPr="001A3F2C">
        <w:rPr>
          <w:rFonts w:ascii="Times New Roman" w:hAnsi="Times New Roman" w:cs="Times New Roman"/>
          <w:noProof/>
          <w:sz w:val="28"/>
          <w:szCs w:val="28"/>
          <w:lang w:eastAsia="ru-RU"/>
        </w:rPr>
        <w:t>Проєкт</w:t>
      </w:r>
      <w:r w:rsidR="00A57CCF">
        <w:rPr>
          <w:rFonts w:ascii="Times New Roman" w:hAnsi="Times New Roman" w:cs="Times New Roman"/>
          <w:noProof/>
          <w:sz w:val="28"/>
          <w:szCs w:val="28"/>
          <w:lang w:eastAsia="ru-RU"/>
        </w:rPr>
        <w:t>і акта</w:t>
      </w:r>
      <w:r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відсутні положення, що містять ризики вчинення корупційних правопорушень та правопорушень, пов'язаних із корупцією.</w:t>
      </w:r>
    </w:p>
    <w:p w:rsidR="00CC3F3D" w:rsidRPr="00820CAB" w:rsidRDefault="00CC3F3D" w:rsidP="00CC3F3D">
      <w:pPr>
        <w:widowControl w:val="0"/>
        <w:tabs>
          <w:tab w:val="left" w:pos="4536"/>
          <w:tab w:val="center" w:pos="4819"/>
          <w:tab w:val="right" w:pos="9639"/>
        </w:tabs>
        <w:spacing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У </w:t>
      </w:r>
      <w:r w:rsidR="00A57CCF" w:rsidRPr="001A3F2C">
        <w:rPr>
          <w:rFonts w:ascii="Times New Roman" w:hAnsi="Times New Roman" w:cs="Times New Roman"/>
          <w:noProof/>
          <w:sz w:val="28"/>
          <w:szCs w:val="28"/>
          <w:lang w:eastAsia="ru-RU"/>
        </w:rPr>
        <w:t>Проєкт</w:t>
      </w:r>
      <w:r w:rsidR="00A57CCF">
        <w:rPr>
          <w:rFonts w:ascii="Times New Roman" w:hAnsi="Times New Roman" w:cs="Times New Roman"/>
          <w:noProof/>
          <w:sz w:val="28"/>
          <w:szCs w:val="28"/>
          <w:lang w:eastAsia="ru-RU"/>
        </w:rPr>
        <w:t>і акта</w:t>
      </w:r>
      <w:r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відсутні положення, які містять ознаки дискримінації чи створюють підстави для дискримінації. </w:t>
      </w:r>
      <w:proofErr w:type="spellStart"/>
      <w:r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Проєкт</w:t>
      </w:r>
      <w:proofErr w:type="spellEnd"/>
      <w:r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</w:t>
      </w:r>
      <w:proofErr w:type="spellStart"/>
      <w:r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акта</w:t>
      </w:r>
      <w:proofErr w:type="spellEnd"/>
      <w:r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не потребує проведення громадської </w:t>
      </w:r>
      <w:proofErr w:type="spellStart"/>
      <w:r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антидискримінаційної</w:t>
      </w:r>
      <w:proofErr w:type="spellEnd"/>
      <w:r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експертизи.</w:t>
      </w:r>
    </w:p>
    <w:p w:rsidR="00CC3F3D" w:rsidRPr="00820CAB" w:rsidRDefault="00CC3F3D" w:rsidP="00CC3F3D">
      <w:pPr>
        <w:widowControl w:val="0"/>
        <w:tabs>
          <w:tab w:val="left" w:pos="4536"/>
          <w:tab w:val="center" w:pos="4819"/>
          <w:tab w:val="right" w:pos="9639"/>
        </w:tabs>
        <w:spacing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</w:p>
    <w:p w:rsidR="00CC3F3D" w:rsidRPr="00102908" w:rsidRDefault="00CC3F3D" w:rsidP="00CC3F3D">
      <w:pPr>
        <w:suppressLineNumbers/>
        <w:tabs>
          <w:tab w:val="left" w:pos="0"/>
          <w:tab w:val="left" w:pos="4536"/>
        </w:tabs>
        <w:spacing w:line="240" w:lineRule="auto"/>
        <w:ind w:firstLine="709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kern w:val="2"/>
          <w:sz w:val="28"/>
          <w:szCs w:val="28"/>
          <w:lang w:eastAsia="ar-SA"/>
        </w:rPr>
        <w:t xml:space="preserve">8. Прогноз результатів </w:t>
      </w:r>
    </w:p>
    <w:p w:rsidR="00CC3F3D" w:rsidRPr="00820CAB" w:rsidRDefault="00CC3F3D" w:rsidP="00CC3F3D">
      <w:pPr>
        <w:spacing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Очікуваний вплив реалізації </w:t>
      </w:r>
      <w:r w:rsidR="00A57CCF" w:rsidRPr="001A3F2C">
        <w:rPr>
          <w:rFonts w:ascii="Times New Roman" w:hAnsi="Times New Roman" w:cs="Times New Roman"/>
          <w:noProof/>
          <w:sz w:val="28"/>
          <w:szCs w:val="28"/>
          <w:lang w:eastAsia="ru-RU"/>
        </w:rPr>
        <w:t>Проєкт</w:t>
      </w:r>
      <w:r w:rsidR="00A57CCF">
        <w:rPr>
          <w:rFonts w:ascii="Times New Roman" w:hAnsi="Times New Roman" w:cs="Times New Roman"/>
          <w:noProof/>
          <w:sz w:val="28"/>
          <w:szCs w:val="28"/>
          <w:lang w:eastAsia="ru-RU"/>
        </w:rPr>
        <w:t>у акта</w:t>
      </w:r>
      <w:r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на: </w:t>
      </w:r>
    </w:p>
    <w:p w:rsidR="00CC3F3D" w:rsidRPr="00820CAB" w:rsidRDefault="00CC3F3D" w:rsidP="00CC3F3D">
      <w:pPr>
        <w:spacing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820CAB">
        <w:rPr>
          <w:rFonts w:ascii="Times New Roman" w:eastAsia="Times New Roman" w:hAnsi="Times New Roman"/>
          <w:i/>
          <w:kern w:val="1"/>
          <w:sz w:val="28"/>
          <w:szCs w:val="28"/>
          <w:lang w:eastAsia="ar-SA"/>
        </w:rPr>
        <w:t>ринкове середовище, забезпечення захисту прав та інтересів суб’єктів господарювання, громадян і держави; розвиток регіонів, ринок праці, сфери суспільних відносин</w:t>
      </w: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– </w:t>
      </w:r>
      <w:r w:rsidR="00A57CCF" w:rsidRPr="001A3F2C">
        <w:rPr>
          <w:rFonts w:ascii="Times New Roman" w:hAnsi="Times New Roman" w:cs="Times New Roman"/>
          <w:noProof/>
          <w:sz w:val="28"/>
          <w:szCs w:val="28"/>
          <w:lang w:eastAsia="ru-RU"/>
        </w:rPr>
        <w:t>Проєкт</w:t>
      </w:r>
      <w:r w:rsidR="00A57CC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акта</w:t>
      </w:r>
      <w:r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спрямовано на удосконалення нормативно-правової бази Національної комісії з цінних паперів та фондового ринку;</w:t>
      </w:r>
    </w:p>
    <w:p w:rsidR="00CC3F3D" w:rsidRPr="00820CAB" w:rsidRDefault="00CC3F3D" w:rsidP="00CC3F3D">
      <w:pPr>
        <w:tabs>
          <w:tab w:val="left" w:pos="9781"/>
        </w:tabs>
        <w:spacing w:line="240" w:lineRule="auto"/>
        <w:ind w:right="8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820CAB">
        <w:rPr>
          <w:rFonts w:ascii="Times New Roman" w:eastAsia="Times New Roman" w:hAnsi="Times New Roman"/>
          <w:i/>
          <w:kern w:val="1"/>
          <w:sz w:val="28"/>
          <w:szCs w:val="28"/>
          <w:lang w:eastAsia="ar-SA"/>
        </w:rPr>
        <w:t>громадське здоров’я, екологію та навколишнє природне середовище, обсяг природних ресурсів, рівень забрудненого атмосферного повітря, води, земель</w:t>
      </w:r>
      <w:r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– </w:t>
      </w:r>
      <w:r w:rsidR="00A57CCF" w:rsidRPr="001A3F2C">
        <w:rPr>
          <w:rFonts w:ascii="Times New Roman" w:hAnsi="Times New Roman" w:cs="Times New Roman"/>
          <w:noProof/>
          <w:sz w:val="28"/>
          <w:szCs w:val="28"/>
          <w:lang w:eastAsia="ru-RU"/>
        </w:rPr>
        <w:t>Проєкт</w:t>
      </w:r>
      <w:r w:rsidR="00A57CC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акта</w:t>
      </w:r>
      <w:r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за предметом правового регулювання не регулює зазначені сфери. </w:t>
      </w:r>
    </w:p>
    <w:p w:rsidR="00CC3F3D" w:rsidRPr="00820CAB" w:rsidRDefault="00CC3F3D" w:rsidP="00CC3F3D">
      <w:pPr>
        <w:tabs>
          <w:tab w:val="left" w:pos="9781"/>
        </w:tabs>
        <w:spacing w:line="240" w:lineRule="auto"/>
        <w:ind w:right="8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Реалізація </w:t>
      </w:r>
      <w:r w:rsidR="00DE0E92" w:rsidRPr="001A3F2C">
        <w:rPr>
          <w:rFonts w:ascii="Times New Roman" w:hAnsi="Times New Roman" w:cs="Times New Roman"/>
          <w:noProof/>
          <w:sz w:val="28"/>
          <w:szCs w:val="28"/>
          <w:lang w:eastAsia="ru-RU"/>
        </w:rPr>
        <w:t>Проєкт</w:t>
      </w:r>
      <w:r w:rsidR="00DE0E92">
        <w:rPr>
          <w:rFonts w:ascii="Times New Roman" w:hAnsi="Times New Roman" w:cs="Times New Roman"/>
          <w:noProof/>
          <w:sz w:val="28"/>
          <w:szCs w:val="28"/>
          <w:lang w:eastAsia="ru-RU"/>
        </w:rPr>
        <w:t>у акта</w:t>
      </w:r>
      <w:r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не матиме негативного впливу на ринкове середовище, забезпечення захисту прав та інтересів суб’єктів господарювання, громадян і держави. </w:t>
      </w:r>
    </w:p>
    <w:p w:rsidR="00CC3F3D" w:rsidRPr="00820CAB" w:rsidRDefault="00CC3F3D" w:rsidP="00CC3F3D">
      <w:pPr>
        <w:tabs>
          <w:tab w:val="left" w:pos="851"/>
          <w:tab w:val="left" w:pos="9781"/>
        </w:tabs>
        <w:spacing w:line="240" w:lineRule="auto"/>
        <w:ind w:right="8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Реалізація </w:t>
      </w:r>
      <w:r w:rsidR="00DE0E92" w:rsidRPr="001A3F2C">
        <w:rPr>
          <w:rFonts w:ascii="Times New Roman" w:hAnsi="Times New Roman" w:cs="Times New Roman"/>
          <w:noProof/>
          <w:sz w:val="28"/>
          <w:szCs w:val="28"/>
          <w:lang w:eastAsia="ru-RU"/>
        </w:rPr>
        <w:t>Проєкт</w:t>
      </w:r>
      <w:r w:rsidR="00DE0E92">
        <w:rPr>
          <w:rFonts w:ascii="Times New Roman" w:hAnsi="Times New Roman" w:cs="Times New Roman"/>
          <w:noProof/>
          <w:sz w:val="28"/>
          <w:szCs w:val="28"/>
          <w:lang w:eastAsia="ru-RU"/>
        </w:rPr>
        <w:t>у акта</w:t>
      </w:r>
      <w:r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не матиме впливу на розвиток регіонів, підвищення чи зниження спроможності територіальних громад; ринок праці, рівень зайнятості населення; громадське здоров’я, покращення чи погіршення стану здоров’я населення або його окремих груп; екологію та навколишнє природне середовище, обсяг природних ресурсів, рівень забруднення атмосферного повітря, води, земель, зокрема забруднення утвореними відходами, інші суспільні відносини. </w:t>
      </w:r>
    </w:p>
    <w:p w:rsidR="00CC3F3D" w:rsidRPr="00820CAB" w:rsidRDefault="00DE0E92" w:rsidP="00CC3F3D">
      <w:pPr>
        <w:tabs>
          <w:tab w:val="left" w:pos="9781"/>
        </w:tabs>
        <w:spacing w:line="240" w:lineRule="auto"/>
        <w:ind w:right="8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1A3F2C">
        <w:rPr>
          <w:rFonts w:ascii="Times New Roman" w:hAnsi="Times New Roman" w:cs="Times New Roman"/>
          <w:noProof/>
          <w:sz w:val="28"/>
          <w:szCs w:val="28"/>
          <w:lang w:eastAsia="ru-RU"/>
        </w:rPr>
        <w:t>Проєкт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акта</w:t>
      </w:r>
      <w:r w:rsidR="00CC3F3D"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не містить ризиків при реалізації його положень. </w:t>
      </w:r>
    </w:p>
    <w:p w:rsidR="00CC3F3D" w:rsidRPr="00820CAB" w:rsidRDefault="00CC3F3D" w:rsidP="00CC3F3D">
      <w:pPr>
        <w:tabs>
          <w:tab w:val="left" w:pos="9781"/>
        </w:tabs>
        <w:spacing w:line="240" w:lineRule="auto"/>
        <w:ind w:right="8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Прогноз очікуваних результатів реалізації </w:t>
      </w:r>
      <w:r w:rsidR="00DE0E92" w:rsidRPr="001A3F2C">
        <w:rPr>
          <w:rFonts w:ascii="Times New Roman" w:hAnsi="Times New Roman" w:cs="Times New Roman"/>
          <w:noProof/>
          <w:sz w:val="28"/>
          <w:szCs w:val="28"/>
          <w:lang w:eastAsia="ru-RU"/>
        </w:rPr>
        <w:t>Проєкт</w:t>
      </w:r>
      <w:r w:rsidR="00A84D83">
        <w:rPr>
          <w:rFonts w:ascii="Times New Roman" w:hAnsi="Times New Roman" w:cs="Times New Roman"/>
          <w:noProof/>
          <w:sz w:val="28"/>
          <w:szCs w:val="28"/>
          <w:lang w:eastAsia="ru-RU"/>
        </w:rPr>
        <w:t>у</w:t>
      </w:r>
      <w:r w:rsidR="00DE0E9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акта</w:t>
      </w:r>
      <w:r w:rsidRPr="00820CAB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визначається в якісному вимірі та є позитивним для всіх заінтересованих сторін: держави, професійних учасників ринків капіталу та їх клієнтів.</w:t>
      </w:r>
    </w:p>
    <w:p w:rsidR="00CC3F3D" w:rsidRPr="001A3F2C" w:rsidRDefault="00CC3F3D" w:rsidP="00A510CC">
      <w:pPr>
        <w:pStyle w:val="rvps2"/>
        <w:tabs>
          <w:tab w:val="left" w:pos="851"/>
        </w:tabs>
        <w:spacing w:before="0" w:beforeAutospacing="0" w:after="0" w:afterAutospacing="0"/>
        <w:ind w:firstLine="630"/>
        <w:jc w:val="both"/>
        <w:rPr>
          <w:sz w:val="28"/>
          <w:szCs w:val="28"/>
        </w:rPr>
      </w:pPr>
    </w:p>
    <w:p w:rsidR="00CF352B" w:rsidRPr="001A3F2C" w:rsidRDefault="00CF352B" w:rsidP="00CF352B">
      <w:pPr>
        <w:pStyle w:val="rvps2"/>
        <w:tabs>
          <w:tab w:val="left" w:pos="851"/>
        </w:tabs>
        <w:spacing w:before="0" w:beforeAutospacing="0" w:after="0" w:afterAutospacing="0"/>
        <w:ind w:firstLine="630"/>
        <w:jc w:val="both"/>
        <w:rPr>
          <w:iCs/>
          <w:sz w:val="28"/>
          <w:szCs w:val="28"/>
        </w:rPr>
      </w:pPr>
    </w:p>
    <w:p w:rsidR="005552C0" w:rsidRPr="00007294" w:rsidRDefault="005F08D2" w:rsidP="004F44F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5552C0" w:rsidRPr="00007294">
        <w:rPr>
          <w:rFonts w:ascii="Times New Roman" w:hAnsi="Times New Roman" w:cs="Times New Roman"/>
          <w:b/>
          <w:sz w:val="28"/>
          <w:szCs w:val="28"/>
        </w:rPr>
        <w:t xml:space="preserve">иректор департаменту методології </w:t>
      </w:r>
    </w:p>
    <w:p w:rsidR="005552C0" w:rsidRPr="00007294" w:rsidRDefault="005552C0" w:rsidP="004F44F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7294">
        <w:rPr>
          <w:rFonts w:ascii="Times New Roman" w:hAnsi="Times New Roman" w:cs="Times New Roman"/>
          <w:b/>
          <w:sz w:val="28"/>
          <w:szCs w:val="28"/>
        </w:rPr>
        <w:t xml:space="preserve">регулювання професійних учасників </w:t>
      </w:r>
    </w:p>
    <w:p w:rsidR="00F341D7" w:rsidRPr="00007294" w:rsidRDefault="00007294" w:rsidP="004F44F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ринку цінних паперів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5F08D2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5F08D2">
        <w:rPr>
          <w:rFonts w:ascii="Times New Roman" w:hAnsi="Times New Roman" w:cs="Times New Roman"/>
          <w:b/>
          <w:sz w:val="28"/>
          <w:szCs w:val="28"/>
        </w:rPr>
        <w:t>Максим ТИМОХІН</w:t>
      </w:r>
    </w:p>
    <w:sectPr w:rsidR="00F341D7" w:rsidRPr="00007294" w:rsidSect="00DE0E92">
      <w:headerReference w:type="default" r:id="rId8"/>
      <w:pgSz w:w="11906" w:h="16838"/>
      <w:pgMar w:top="1134" w:right="849" w:bottom="297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CB1" w:rsidRDefault="00AA3CB1" w:rsidP="0026563A">
      <w:pPr>
        <w:spacing w:line="240" w:lineRule="auto"/>
      </w:pPr>
      <w:r>
        <w:separator/>
      </w:r>
    </w:p>
  </w:endnote>
  <w:endnote w:type="continuationSeparator" w:id="0">
    <w:p w:rsidR="00AA3CB1" w:rsidRDefault="00AA3CB1" w:rsidP="002656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CB1" w:rsidRDefault="00AA3CB1" w:rsidP="0026563A">
      <w:pPr>
        <w:spacing w:line="240" w:lineRule="auto"/>
      </w:pPr>
      <w:r>
        <w:separator/>
      </w:r>
    </w:p>
  </w:footnote>
  <w:footnote w:type="continuationSeparator" w:id="0">
    <w:p w:rsidR="00AA3CB1" w:rsidRDefault="00AA3CB1" w:rsidP="002656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86072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6563A" w:rsidRPr="004E5F6F" w:rsidRDefault="0026563A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E5F6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E5F6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E5F6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0078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E5F6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6563A" w:rsidRDefault="0026563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74610"/>
    <w:multiLevelType w:val="hybridMultilevel"/>
    <w:tmpl w:val="3DE02962"/>
    <w:lvl w:ilvl="0" w:tplc="1EF61984">
      <w:start w:val="3"/>
      <w:numFmt w:val="bullet"/>
      <w:suff w:val="space"/>
      <w:lvlText w:val="-"/>
      <w:lvlJc w:val="left"/>
      <w:pPr>
        <w:ind w:left="9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" w15:restartNumberingAfterBreak="0">
    <w:nsid w:val="523163B8"/>
    <w:multiLevelType w:val="multilevel"/>
    <w:tmpl w:val="CE146D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7111CF3"/>
    <w:multiLevelType w:val="hybridMultilevel"/>
    <w:tmpl w:val="DE26ED72"/>
    <w:lvl w:ilvl="0" w:tplc="FB3CD960">
      <w:start w:val="3"/>
      <w:numFmt w:val="bullet"/>
      <w:lvlText w:val="-"/>
      <w:lvlJc w:val="left"/>
      <w:pPr>
        <w:ind w:left="9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780765AC"/>
    <w:multiLevelType w:val="hybridMultilevel"/>
    <w:tmpl w:val="F500A058"/>
    <w:lvl w:ilvl="0" w:tplc="616284C4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4" w:hanging="360"/>
      </w:pPr>
    </w:lvl>
    <w:lvl w:ilvl="2" w:tplc="0422001B" w:tentative="1">
      <w:start w:val="1"/>
      <w:numFmt w:val="lowerRoman"/>
      <w:lvlText w:val="%3."/>
      <w:lvlJc w:val="right"/>
      <w:pPr>
        <w:ind w:left="2434" w:hanging="180"/>
      </w:pPr>
    </w:lvl>
    <w:lvl w:ilvl="3" w:tplc="0422000F" w:tentative="1">
      <w:start w:val="1"/>
      <w:numFmt w:val="decimal"/>
      <w:lvlText w:val="%4."/>
      <w:lvlJc w:val="left"/>
      <w:pPr>
        <w:ind w:left="3154" w:hanging="360"/>
      </w:pPr>
    </w:lvl>
    <w:lvl w:ilvl="4" w:tplc="04220019" w:tentative="1">
      <w:start w:val="1"/>
      <w:numFmt w:val="lowerLetter"/>
      <w:lvlText w:val="%5."/>
      <w:lvlJc w:val="left"/>
      <w:pPr>
        <w:ind w:left="3874" w:hanging="360"/>
      </w:pPr>
    </w:lvl>
    <w:lvl w:ilvl="5" w:tplc="0422001B" w:tentative="1">
      <w:start w:val="1"/>
      <w:numFmt w:val="lowerRoman"/>
      <w:lvlText w:val="%6."/>
      <w:lvlJc w:val="right"/>
      <w:pPr>
        <w:ind w:left="4594" w:hanging="180"/>
      </w:pPr>
    </w:lvl>
    <w:lvl w:ilvl="6" w:tplc="0422000F" w:tentative="1">
      <w:start w:val="1"/>
      <w:numFmt w:val="decimal"/>
      <w:lvlText w:val="%7."/>
      <w:lvlJc w:val="left"/>
      <w:pPr>
        <w:ind w:left="5314" w:hanging="360"/>
      </w:pPr>
    </w:lvl>
    <w:lvl w:ilvl="7" w:tplc="04220019" w:tentative="1">
      <w:start w:val="1"/>
      <w:numFmt w:val="lowerLetter"/>
      <w:lvlText w:val="%8."/>
      <w:lvlJc w:val="left"/>
      <w:pPr>
        <w:ind w:left="6034" w:hanging="360"/>
      </w:pPr>
    </w:lvl>
    <w:lvl w:ilvl="8" w:tplc="0422001B" w:tentative="1">
      <w:start w:val="1"/>
      <w:numFmt w:val="lowerRoman"/>
      <w:lvlText w:val="%9."/>
      <w:lvlJc w:val="right"/>
      <w:pPr>
        <w:ind w:left="675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D7"/>
    <w:rsid w:val="00007294"/>
    <w:rsid w:val="00030D21"/>
    <w:rsid w:val="00041A7F"/>
    <w:rsid w:val="0004281A"/>
    <w:rsid w:val="00050826"/>
    <w:rsid w:val="00064593"/>
    <w:rsid w:val="00071CAE"/>
    <w:rsid w:val="000777E0"/>
    <w:rsid w:val="00084938"/>
    <w:rsid w:val="0009230E"/>
    <w:rsid w:val="00092D07"/>
    <w:rsid w:val="00094001"/>
    <w:rsid w:val="000958D0"/>
    <w:rsid w:val="000A2ACC"/>
    <w:rsid w:val="000B48FE"/>
    <w:rsid w:val="000C1B19"/>
    <w:rsid w:val="000C32E3"/>
    <w:rsid w:val="000C6660"/>
    <w:rsid w:val="000C7F1A"/>
    <w:rsid w:val="000E5CA6"/>
    <w:rsid w:val="000E7988"/>
    <w:rsid w:val="000F064F"/>
    <w:rsid w:val="000F2719"/>
    <w:rsid w:val="000F6DA2"/>
    <w:rsid w:val="001159A8"/>
    <w:rsid w:val="00123E75"/>
    <w:rsid w:val="001A3F2C"/>
    <w:rsid w:val="001B5218"/>
    <w:rsid w:val="001F1475"/>
    <w:rsid w:val="001F5038"/>
    <w:rsid w:val="001F6534"/>
    <w:rsid w:val="001F77AA"/>
    <w:rsid w:val="00202123"/>
    <w:rsid w:val="00224144"/>
    <w:rsid w:val="002254E5"/>
    <w:rsid w:val="00250857"/>
    <w:rsid w:val="0026563A"/>
    <w:rsid w:val="0027399F"/>
    <w:rsid w:val="00273CB7"/>
    <w:rsid w:val="002758BD"/>
    <w:rsid w:val="0027692A"/>
    <w:rsid w:val="0028711C"/>
    <w:rsid w:val="002A4F9D"/>
    <w:rsid w:val="002A6354"/>
    <w:rsid w:val="002C4152"/>
    <w:rsid w:val="002D03BF"/>
    <w:rsid w:val="002D0FD5"/>
    <w:rsid w:val="002D6569"/>
    <w:rsid w:val="002E5819"/>
    <w:rsid w:val="00304268"/>
    <w:rsid w:val="003104FF"/>
    <w:rsid w:val="0031386A"/>
    <w:rsid w:val="00326A50"/>
    <w:rsid w:val="003B69EA"/>
    <w:rsid w:val="003F3787"/>
    <w:rsid w:val="003F3CCF"/>
    <w:rsid w:val="00400784"/>
    <w:rsid w:val="0042028E"/>
    <w:rsid w:val="004214BA"/>
    <w:rsid w:val="00427979"/>
    <w:rsid w:val="00436A8D"/>
    <w:rsid w:val="00443B3C"/>
    <w:rsid w:val="00454BFC"/>
    <w:rsid w:val="004A1587"/>
    <w:rsid w:val="004C1BF1"/>
    <w:rsid w:val="004C3E36"/>
    <w:rsid w:val="004D1D6D"/>
    <w:rsid w:val="004E1DB4"/>
    <w:rsid w:val="004E40B8"/>
    <w:rsid w:val="004E5720"/>
    <w:rsid w:val="004E5F6F"/>
    <w:rsid w:val="004F31C4"/>
    <w:rsid w:val="004F3DCF"/>
    <w:rsid w:val="004F44FD"/>
    <w:rsid w:val="0050167D"/>
    <w:rsid w:val="00513E84"/>
    <w:rsid w:val="0052076B"/>
    <w:rsid w:val="00526C00"/>
    <w:rsid w:val="00533B2B"/>
    <w:rsid w:val="005353AD"/>
    <w:rsid w:val="0054603E"/>
    <w:rsid w:val="0055324D"/>
    <w:rsid w:val="005552C0"/>
    <w:rsid w:val="0059250E"/>
    <w:rsid w:val="005939A7"/>
    <w:rsid w:val="005A1DCA"/>
    <w:rsid w:val="005B6EDD"/>
    <w:rsid w:val="005D328E"/>
    <w:rsid w:val="005F08D2"/>
    <w:rsid w:val="005F4012"/>
    <w:rsid w:val="005F4AA7"/>
    <w:rsid w:val="0060339A"/>
    <w:rsid w:val="00615906"/>
    <w:rsid w:val="00617B4C"/>
    <w:rsid w:val="0062003B"/>
    <w:rsid w:val="00625951"/>
    <w:rsid w:val="00627F76"/>
    <w:rsid w:val="00634DB1"/>
    <w:rsid w:val="00662861"/>
    <w:rsid w:val="006708A6"/>
    <w:rsid w:val="00676CA0"/>
    <w:rsid w:val="00683CB5"/>
    <w:rsid w:val="0069357F"/>
    <w:rsid w:val="006A1D33"/>
    <w:rsid w:val="006B42A3"/>
    <w:rsid w:val="006C1A39"/>
    <w:rsid w:val="00716628"/>
    <w:rsid w:val="00723342"/>
    <w:rsid w:val="0072407E"/>
    <w:rsid w:val="00731196"/>
    <w:rsid w:val="00744E45"/>
    <w:rsid w:val="00753622"/>
    <w:rsid w:val="00760731"/>
    <w:rsid w:val="00762D78"/>
    <w:rsid w:val="007A554B"/>
    <w:rsid w:val="007A5F67"/>
    <w:rsid w:val="007B7D69"/>
    <w:rsid w:val="007C32DD"/>
    <w:rsid w:val="007C3F71"/>
    <w:rsid w:val="007E1CCE"/>
    <w:rsid w:val="008018F0"/>
    <w:rsid w:val="008075D5"/>
    <w:rsid w:val="0081798E"/>
    <w:rsid w:val="008356DE"/>
    <w:rsid w:val="00862743"/>
    <w:rsid w:val="00876D75"/>
    <w:rsid w:val="008841EA"/>
    <w:rsid w:val="00892381"/>
    <w:rsid w:val="008A754A"/>
    <w:rsid w:val="008B11F8"/>
    <w:rsid w:val="008C0273"/>
    <w:rsid w:val="008C4DDA"/>
    <w:rsid w:val="009008A1"/>
    <w:rsid w:val="00907050"/>
    <w:rsid w:val="009162AC"/>
    <w:rsid w:val="0092006D"/>
    <w:rsid w:val="00931BAB"/>
    <w:rsid w:val="0096339C"/>
    <w:rsid w:val="00980816"/>
    <w:rsid w:val="00985510"/>
    <w:rsid w:val="0098559E"/>
    <w:rsid w:val="00996360"/>
    <w:rsid w:val="009A34F1"/>
    <w:rsid w:val="009C0CCA"/>
    <w:rsid w:val="009C3BCB"/>
    <w:rsid w:val="009D0716"/>
    <w:rsid w:val="009D17A4"/>
    <w:rsid w:val="009D5B89"/>
    <w:rsid w:val="009D6E23"/>
    <w:rsid w:val="009E0996"/>
    <w:rsid w:val="009F1F92"/>
    <w:rsid w:val="00A17C40"/>
    <w:rsid w:val="00A4258A"/>
    <w:rsid w:val="00A4586C"/>
    <w:rsid w:val="00A510CC"/>
    <w:rsid w:val="00A563AB"/>
    <w:rsid w:val="00A57CCF"/>
    <w:rsid w:val="00A7278E"/>
    <w:rsid w:val="00A84D83"/>
    <w:rsid w:val="00A868CA"/>
    <w:rsid w:val="00A906D6"/>
    <w:rsid w:val="00AA3CB1"/>
    <w:rsid w:val="00AA72E7"/>
    <w:rsid w:val="00AB25B2"/>
    <w:rsid w:val="00AB6B93"/>
    <w:rsid w:val="00AD0016"/>
    <w:rsid w:val="00AD1D36"/>
    <w:rsid w:val="00AD29E2"/>
    <w:rsid w:val="00AD2F10"/>
    <w:rsid w:val="00AE7254"/>
    <w:rsid w:val="00AF049D"/>
    <w:rsid w:val="00AF3631"/>
    <w:rsid w:val="00B13861"/>
    <w:rsid w:val="00B16D5F"/>
    <w:rsid w:val="00B225EA"/>
    <w:rsid w:val="00B3329E"/>
    <w:rsid w:val="00B34317"/>
    <w:rsid w:val="00B50124"/>
    <w:rsid w:val="00B52666"/>
    <w:rsid w:val="00B634FD"/>
    <w:rsid w:val="00B65CBD"/>
    <w:rsid w:val="00B83894"/>
    <w:rsid w:val="00B8571E"/>
    <w:rsid w:val="00BA5071"/>
    <w:rsid w:val="00BA6569"/>
    <w:rsid w:val="00BC0244"/>
    <w:rsid w:val="00BC0980"/>
    <w:rsid w:val="00BC4142"/>
    <w:rsid w:val="00BC638B"/>
    <w:rsid w:val="00BC75A4"/>
    <w:rsid w:val="00BF6E24"/>
    <w:rsid w:val="00C15589"/>
    <w:rsid w:val="00C20A11"/>
    <w:rsid w:val="00C24FC3"/>
    <w:rsid w:val="00C407FF"/>
    <w:rsid w:val="00C51148"/>
    <w:rsid w:val="00C549F4"/>
    <w:rsid w:val="00C64FDE"/>
    <w:rsid w:val="00C975D6"/>
    <w:rsid w:val="00CA3DB9"/>
    <w:rsid w:val="00CA4383"/>
    <w:rsid w:val="00CA5930"/>
    <w:rsid w:val="00CB0155"/>
    <w:rsid w:val="00CB1713"/>
    <w:rsid w:val="00CC2338"/>
    <w:rsid w:val="00CC3F3D"/>
    <w:rsid w:val="00CD42A6"/>
    <w:rsid w:val="00CF352B"/>
    <w:rsid w:val="00D216F1"/>
    <w:rsid w:val="00D2579D"/>
    <w:rsid w:val="00D90BD0"/>
    <w:rsid w:val="00D950B5"/>
    <w:rsid w:val="00D9628F"/>
    <w:rsid w:val="00DA2BD9"/>
    <w:rsid w:val="00DA6E7E"/>
    <w:rsid w:val="00DC5AFF"/>
    <w:rsid w:val="00DD21E4"/>
    <w:rsid w:val="00DD25AC"/>
    <w:rsid w:val="00DE0E92"/>
    <w:rsid w:val="00DE7357"/>
    <w:rsid w:val="00DF185C"/>
    <w:rsid w:val="00E10907"/>
    <w:rsid w:val="00E17428"/>
    <w:rsid w:val="00E30ADD"/>
    <w:rsid w:val="00E32AA9"/>
    <w:rsid w:val="00E36873"/>
    <w:rsid w:val="00E4628C"/>
    <w:rsid w:val="00E560DD"/>
    <w:rsid w:val="00E631C0"/>
    <w:rsid w:val="00E712D7"/>
    <w:rsid w:val="00E72662"/>
    <w:rsid w:val="00E873CA"/>
    <w:rsid w:val="00E91EC6"/>
    <w:rsid w:val="00E929FB"/>
    <w:rsid w:val="00EA4ECD"/>
    <w:rsid w:val="00EB3BFD"/>
    <w:rsid w:val="00EC7164"/>
    <w:rsid w:val="00ED2AF6"/>
    <w:rsid w:val="00ED30DB"/>
    <w:rsid w:val="00EE0530"/>
    <w:rsid w:val="00EE3DFA"/>
    <w:rsid w:val="00EE66EF"/>
    <w:rsid w:val="00F014DE"/>
    <w:rsid w:val="00F3110D"/>
    <w:rsid w:val="00F325A4"/>
    <w:rsid w:val="00F341D7"/>
    <w:rsid w:val="00F41D57"/>
    <w:rsid w:val="00F4570E"/>
    <w:rsid w:val="00F45DBD"/>
    <w:rsid w:val="00F64DD0"/>
    <w:rsid w:val="00F82596"/>
    <w:rsid w:val="00F84A84"/>
    <w:rsid w:val="00F9277B"/>
    <w:rsid w:val="00FA1D94"/>
    <w:rsid w:val="00FD3671"/>
    <w:rsid w:val="00FE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958673"/>
  <w15:chartTrackingRefBased/>
  <w15:docId w15:val="{CC697A32-65C4-4E47-9B7E-D843CE4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uk-UA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7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cntmsonormal">
    <w:name w:val="mcntmsonormal"/>
    <w:basedOn w:val="a"/>
    <w:rsid w:val="00F34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9D6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BC024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2076B"/>
    <w:rPr>
      <w:color w:val="0000FF"/>
      <w:u w:val="single"/>
    </w:rPr>
  </w:style>
  <w:style w:type="character" w:customStyle="1" w:styleId="rvts15">
    <w:name w:val="rvts15"/>
    <w:basedOn w:val="a0"/>
    <w:rsid w:val="00BA5071"/>
  </w:style>
  <w:style w:type="paragraph" w:customStyle="1" w:styleId="rvps6">
    <w:name w:val="rvps6"/>
    <w:basedOn w:val="a"/>
    <w:rsid w:val="00634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header"/>
    <w:basedOn w:val="a"/>
    <w:link w:val="a6"/>
    <w:unhideWhenUsed/>
    <w:rsid w:val="0026563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26563A"/>
  </w:style>
  <w:style w:type="paragraph" w:styleId="a7">
    <w:name w:val="footer"/>
    <w:basedOn w:val="a"/>
    <w:link w:val="a8"/>
    <w:uiPriority w:val="99"/>
    <w:unhideWhenUsed/>
    <w:rsid w:val="0026563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6563A"/>
  </w:style>
  <w:style w:type="paragraph" w:styleId="a9">
    <w:name w:val="Normal (Web)"/>
    <w:basedOn w:val="a"/>
    <w:uiPriority w:val="99"/>
    <w:rsid w:val="00050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">
    <w:name w:val="rvps4"/>
    <w:basedOn w:val="a"/>
    <w:rsid w:val="00670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6708A6"/>
  </w:style>
  <w:style w:type="paragraph" w:customStyle="1" w:styleId="rvps7">
    <w:name w:val="rvps7"/>
    <w:basedOn w:val="a"/>
    <w:rsid w:val="00670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6708A6"/>
  </w:style>
  <w:style w:type="paragraph" w:customStyle="1" w:styleId="rvps14">
    <w:name w:val="rvps14"/>
    <w:basedOn w:val="a"/>
    <w:rsid w:val="00670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panrvts0">
    <w:name w:val="span_rvts0"/>
    <w:basedOn w:val="a0"/>
    <w:rsid w:val="000777E0"/>
    <w:rPr>
      <w:rFonts w:ascii="Times New Roman" w:eastAsia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paragraph" w:styleId="aa">
    <w:name w:val="No Spacing"/>
    <w:qFormat/>
    <w:rsid w:val="00CC3F3D"/>
    <w:pPr>
      <w:suppressAutoHyphens/>
      <w:spacing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8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00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ssm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4140</Words>
  <Characters>2360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NSSMC</Company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КАРІНА</dc:creator>
  <cp:keywords/>
  <dc:description/>
  <cp:lastModifiedBy>Admin</cp:lastModifiedBy>
  <cp:revision>4</cp:revision>
  <dcterms:created xsi:type="dcterms:W3CDTF">2025-11-07T13:29:00Z</dcterms:created>
  <dcterms:modified xsi:type="dcterms:W3CDTF">2025-11-07T13:54:00Z</dcterms:modified>
</cp:coreProperties>
</file>